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D0AB8" w:rsidRDefault="003D0AB8" w:rsidP="003D0AB8">
      <w:pPr>
        <w:jc w:val="center"/>
        <w:rPr>
          <w:rFonts w:ascii="Arial" w:eastAsia="黑体" w:hAnsi="Arial"/>
          <w:b/>
          <w:sz w:val="28"/>
          <w:szCs w:val="28"/>
        </w:rPr>
      </w:pPr>
      <w:bookmarkStart w:id="0" w:name="_Hlk65500458"/>
      <w:r w:rsidRPr="003D0AB8">
        <w:rPr>
          <w:rFonts w:ascii="Arial" w:eastAsia="黑体" w:hAnsi="Arial" w:hint="eastAsia"/>
          <w:b/>
          <w:sz w:val="28"/>
          <w:szCs w:val="28"/>
        </w:rPr>
        <w:t>四川省平武县关坝沟流域自然保护小区科学考察站</w:t>
      </w:r>
    </w:p>
    <w:p w:rsidR="003D0AB8" w:rsidRPr="003D0AB8" w:rsidRDefault="003D0AB8" w:rsidP="003D0AB8">
      <w:pPr>
        <w:jc w:val="center"/>
        <w:rPr>
          <w:rFonts w:ascii="Arial" w:eastAsia="黑体" w:hAnsi="Arial"/>
          <w:b/>
          <w:sz w:val="28"/>
          <w:szCs w:val="28"/>
        </w:rPr>
      </w:pP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bookmarkStart w:id="1" w:name="_Hlk65500504"/>
      <w:bookmarkEnd w:id="0"/>
      <w:r>
        <w:rPr>
          <w:rFonts w:hint="eastAsia"/>
          <w:b/>
          <w:color w:val="auto"/>
          <w:kern w:val="2"/>
        </w:rPr>
        <w:t>项目背景</w:t>
      </w:r>
    </w:p>
    <w:bookmarkEnd w:id="1"/>
    <w:p w:rsidR="00E52A33" w:rsidRDefault="00B43DCF">
      <w:p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项目地位于四川省绵阳市平武县木皮藏族乡关坝村，北纬</w:t>
      </w:r>
      <w:r>
        <w:rPr>
          <w:rFonts w:ascii="宋体" w:eastAsia="宋体" w:hAnsi="宋体" w:cs="宋体"/>
          <w:sz w:val="24"/>
          <w:szCs w:val="24"/>
        </w:rPr>
        <w:t>39°33’18”,</w:t>
      </w:r>
      <w:r>
        <w:rPr>
          <w:rFonts w:ascii="宋体" w:eastAsia="宋体" w:hAnsi="宋体" w:cs="宋体" w:hint="eastAsia"/>
          <w:sz w:val="24"/>
          <w:szCs w:val="24"/>
        </w:rPr>
        <w:t>东经</w:t>
      </w:r>
      <w:r>
        <w:rPr>
          <w:rFonts w:ascii="宋体" w:eastAsia="宋体" w:hAnsi="宋体" w:cs="宋体"/>
          <w:sz w:val="24"/>
          <w:szCs w:val="24"/>
        </w:rPr>
        <w:t>104°33’58”</w:t>
      </w:r>
      <w:r>
        <w:rPr>
          <w:rFonts w:ascii="宋体" w:eastAsia="宋体" w:hAnsi="宋体" w:cs="宋体" w:hint="eastAsia"/>
          <w:sz w:val="24"/>
          <w:szCs w:val="24"/>
        </w:rPr>
        <w:t>紧邻G2</w:t>
      </w:r>
      <w:r>
        <w:rPr>
          <w:rFonts w:ascii="宋体" w:eastAsia="宋体" w:hAnsi="宋体" w:cs="宋体"/>
          <w:sz w:val="24"/>
          <w:szCs w:val="24"/>
        </w:rPr>
        <w:t>47</w:t>
      </w:r>
      <w:r>
        <w:rPr>
          <w:rFonts w:ascii="宋体" w:eastAsia="宋体" w:hAnsi="宋体" w:cs="宋体" w:hint="eastAsia"/>
          <w:sz w:val="24"/>
          <w:szCs w:val="24"/>
        </w:rPr>
        <w:t>国道，九绵高速出口位于G2</w:t>
      </w:r>
      <w:r>
        <w:rPr>
          <w:rFonts w:ascii="宋体" w:eastAsia="宋体" w:hAnsi="宋体" w:cs="宋体"/>
          <w:sz w:val="24"/>
          <w:szCs w:val="24"/>
        </w:rPr>
        <w:t>47</w:t>
      </w:r>
      <w:r>
        <w:rPr>
          <w:rFonts w:ascii="宋体" w:eastAsia="宋体" w:hAnsi="宋体" w:cs="宋体" w:hint="eastAsia"/>
          <w:sz w:val="24"/>
          <w:szCs w:val="24"/>
        </w:rPr>
        <w:t>国道与村口相接点的北侧4公里处。关坝村位于大熊猫国家公园的岷山片区大熊猫栖息地自然保护区，并为四川省森林自然教育基地和关坝沟流域自然保护小区。全村林地总面积</w:t>
      </w:r>
      <w:r>
        <w:rPr>
          <w:rFonts w:ascii="宋体" w:eastAsia="宋体" w:hAnsi="宋体" w:cs="宋体"/>
          <w:sz w:val="24"/>
          <w:szCs w:val="24"/>
        </w:rPr>
        <w:t>6499.3亩，森林覆盖率为96.3%，区内有大熊猫、金丝猴、红豆杉</w:t>
      </w:r>
      <w:r>
        <w:rPr>
          <w:rFonts w:ascii="宋体" w:eastAsia="宋体" w:hAnsi="宋体" w:cs="宋体" w:hint="eastAsia"/>
          <w:sz w:val="24"/>
          <w:szCs w:val="24"/>
        </w:rPr>
        <w:t>、</w:t>
      </w:r>
      <w:r>
        <w:rPr>
          <w:rFonts w:ascii="宋体" w:eastAsia="宋体" w:hAnsi="宋体" w:cs="宋体"/>
          <w:sz w:val="24"/>
          <w:szCs w:val="24"/>
        </w:rPr>
        <w:t>珙桐等国家保护珍稀动植物70余种，生物资源丰富，生态环境质量高，是绵阳市重要的生态腹地和水源涵养地。</w:t>
      </w:r>
    </w:p>
    <w:p w:rsidR="00E52A33" w:rsidRDefault="00B43DCF">
      <w:pPr>
        <w:spacing w:line="360" w:lineRule="auto"/>
        <w:ind w:firstLineChars="200" w:firstLine="482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/>
          <w:b/>
          <w:bCs/>
          <w:sz w:val="24"/>
          <w:szCs w:val="24"/>
        </w:rPr>
        <w:t>2.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项目要求</w:t>
      </w:r>
    </w:p>
    <w:p w:rsidR="00E52A33" w:rsidRDefault="00B43DCF">
      <w:p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该项目计划建设为</w:t>
      </w:r>
      <w:r w:rsidR="003D0AB8">
        <w:rPr>
          <w:rFonts w:ascii="宋体" w:eastAsia="宋体" w:hAnsi="宋体" w:cs="宋体" w:hint="eastAsia"/>
          <w:sz w:val="24"/>
          <w:szCs w:val="24"/>
        </w:rPr>
        <w:t>四川省平武县</w:t>
      </w:r>
      <w:r w:rsidR="003D0AB8" w:rsidRPr="003D0AB8">
        <w:rPr>
          <w:rFonts w:ascii="宋体" w:eastAsia="宋体" w:hAnsi="宋体" w:cs="宋体" w:hint="eastAsia"/>
          <w:sz w:val="24"/>
          <w:szCs w:val="24"/>
        </w:rPr>
        <w:t>关坝沟流域自然保护小区科学考察站</w:t>
      </w:r>
      <w:r>
        <w:rPr>
          <w:rFonts w:ascii="宋体" w:eastAsia="宋体" w:hAnsi="宋体" w:cs="宋体" w:hint="eastAsia"/>
          <w:sz w:val="24"/>
          <w:szCs w:val="24"/>
        </w:rPr>
        <w:t>，为来访客人、科考人员、研学学生提供工作和生活的场所。目前已建成1栋2层</w:t>
      </w:r>
      <w:r>
        <w:rPr>
          <w:rFonts w:ascii="宋体" w:eastAsia="宋体" w:hAnsi="宋体" w:cs="宋体"/>
          <w:sz w:val="24"/>
          <w:szCs w:val="24"/>
        </w:rPr>
        <w:t>221.88</w:t>
      </w:r>
      <w:r>
        <w:rPr>
          <w:rFonts w:ascii="宋体" w:eastAsia="宋体" w:hAnsi="宋体" w:cs="宋体" w:hint="eastAsia"/>
          <w:sz w:val="24"/>
          <w:szCs w:val="24"/>
        </w:rPr>
        <w:t>㎡的关坝村村委会办公楼和1栋3层</w:t>
      </w:r>
      <w:r>
        <w:rPr>
          <w:rFonts w:ascii="宋体" w:eastAsia="宋体" w:hAnsi="宋体" w:cs="宋体"/>
          <w:sz w:val="24"/>
          <w:szCs w:val="24"/>
        </w:rPr>
        <w:t>572.25</w:t>
      </w:r>
      <w:r>
        <w:rPr>
          <w:rFonts w:ascii="宋体" w:eastAsia="宋体" w:hAnsi="宋体" w:cs="宋体" w:hint="eastAsia"/>
          <w:sz w:val="24"/>
          <w:szCs w:val="24"/>
        </w:rPr>
        <w:t>㎡的带有5间住宿功能和公共卫生间的展览展示楼。一期计划结合现有建筑建设具有科考研学展示、接待住宿驿站、管护办公等功能的建筑群，二期利用既有农房用地，建设3</w:t>
      </w:r>
      <w:r>
        <w:rPr>
          <w:rFonts w:ascii="宋体" w:eastAsia="宋体" w:hAnsi="宋体" w:cs="宋体"/>
          <w:sz w:val="24"/>
          <w:szCs w:val="24"/>
        </w:rPr>
        <w:t>00</w:t>
      </w:r>
      <w:r>
        <w:rPr>
          <w:rFonts w:ascii="宋体" w:eastAsia="宋体" w:hAnsi="宋体" w:cs="宋体" w:hint="eastAsia"/>
          <w:sz w:val="24"/>
          <w:szCs w:val="24"/>
        </w:rPr>
        <w:t>㎡的数字体验中心。</w:t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气候条件</w:t>
      </w:r>
    </w:p>
    <w:p w:rsidR="00E52A33" w:rsidRDefault="00B43DCF">
      <w:pPr>
        <w:pStyle w:val="a9"/>
        <w:spacing w:before="0" w:beforeAutospacing="0" w:after="0" w:afterAutospacing="0" w:line="360" w:lineRule="auto"/>
        <w:ind w:left="360"/>
        <w:jc w:val="both"/>
        <w:rPr>
          <w:rFonts w:cs="宋体"/>
          <w:color w:val="auto"/>
          <w:kern w:val="2"/>
        </w:rPr>
      </w:pPr>
      <w:r>
        <w:rPr>
          <w:rFonts w:cs="宋体" w:hint="eastAsia"/>
          <w:color w:val="auto"/>
          <w:kern w:val="2"/>
        </w:rPr>
        <w:t>项目所在地位于木皮藏族乡中部，夏季凉爽多雨，冬季寒冷多雪，1月</w:t>
      </w:r>
    </w:p>
    <w:p w:rsidR="00E52A33" w:rsidRDefault="00B43DCF">
      <w:pPr>
        <w:pStyle w:val="a9"/>
        <w:spacing w:before="0" w:beforeAutospacing="0" w:after="0" w:afterAutospacing="0" w:line="360" w:lineRule="auto"/>
        <w:jc w:val="both"/>
        <w:rPr>
          <w:rFonts w:cs="宋体"/>
          <w:color w:val="auto"/>
          <w:kern w:val="2"/>
        </w:rPr>
      </w:pPr>
      <w:r>
        <w:rPr>
          <w:rFonts w:cs="宋体" w:hint="eastAsia"/>
          <w:color w:val="auto"/>
          <w:kern w:val="2"/>
        </w:rPr>
        <w:t>平均气温4℃，年平均气温13.9℃。年平均降雨量800mm。</w:t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基础设施</w:t>
      </w:r>
    </w:p>
    <w:p w:rsidR="00E52A33" w:rsidRDefault="00B43DCF">
      <w:pPr>
        <w:pStyle w:val="a9"/>
        <w:spacing w:before="0" w:beforeAutospacing="0" w:after="0" w:afterAutospacing="0" w:line="360" w:lineRule="auto"/>
        <w:ind w:left="360"/>
        <w:jc w:val="both"/>
        <w:rPr>
          <w:rFonts w:cs="宋体"/>
          <w:color w:val="auto"/>
          <w:kern w:val="2"/>
        </w:rPr>
      </w:pPr>
      <w:r>
        <w:rPr>
          <w:rFonts w:cs="宋体" w:hint="eastAsia"/>
          <w:color w:val="auto"/>
          <w:kern w:val="2"/>
        </w:rPr>
        <w:t>项目所在地有基本给水、电力设施，无排水、天然气管道等，无集中供暖。</w:t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bookmarkStart w:id="2" w:name="_Hlk65501122"/>
      <w:r>
        <w:rPr>
          <w:rFonts w:hint="eastAsia"/>
          <w:b/>
          <w:color w:val="auto"/>
          <w:kern w:val="2"/>
        </w:rPr>
        <w:t>竞赛场地</w:t>
      </w:r>
    </w:p>
    <w:p w:rsidR="00E52A33" w:rsidRDefault="00B43DCF">
      <w:pPr>
        <w:pStyle w:val="a9"/>
        <w:spacing w:before="0" w:beforeAutospacing="0" w:after="0" w:afterAutospacing="0" w:line="360" w:lineRule="auto"/>
        <w:ind w:firstLineChars="200" w:firstLine="480"/>
        <w:jc w:val="both"/>
        <w:rPr>
          <w:b/>
          <w:color w:val="auto"/>
          <w:kern w:val="2"/>
        </w:rPr>
      </w:pPr>
      <w:r>
        <w:rPr>
          <w:rFonts w:cs="宋体" w:hint="eastAsia"/>
          <w:color w:val="auto"/>
          <w:kern w:val="2"/>
        </w:rPr>
        <w:t>项目位于四川省绵阳市平武县木皮藏族乡关坝村村口附近，项目用地位于东偏南（高）向西偏北（低）走向的山谷地带，谷底小溪常年有水由东向西流入，项目建设用地位于小溪南侧，山谷南侧山势较为陡峭，北侧山势略微平缓。规划用地</w:t>
      </w:r>
      <w:r>
        <w:rPr>
          <w:rFonts w:cs="宋体"/>
          <w:color w:val="auto"/>
          <w:kern w:val="2"/>
        </w:rPr>
        <w:t>10709</w:t>
      </w:r>
      <w:r>
        <w:rPr>
          <w:rFonts w:cs="宋体" w:hint="eastAsia"/>
          <w:color w:val="auto"/>
          <w:kern w:val="2"/>
        </w:rPr>
        <w:t>㎡，现有管护及村委办公楼、展示接待楼和民居等三栋建筑物，一期占地面积</w:t>
      </w:r>
      <w:r>
        <w:rPr>
          <w:rFonts w:cs="宋体"/>
          <w:color w:val="auto"/>
          <w:kern w:val="2"/>
        </w:rPr>
        <w:t>2293.96</w:t>
      </w:r>
      <w:r>
        <w:rPr>
          <w:rFonts w:cs="宋体" w:hint="eastAsia"/>
          <w:color w:val="auto"/>
          <w:kern w:val="2"/>
        </w:rPr>
        <w:t>㎡，地势为周边高中间低的地形，综合考虑</w:t>
      </w:r>
      <w:r w:rsidR="00BD1AE0">
        <w:rPr>
          <w:rFonts w:cs="宋体" w:hint="eastAsia"/>
          <w:color w:val="auto"/>
          <w:kern w:val="2"/>
        </w:rPr>
        <w:t>用地外既有的管护及村委办公楼和展示接待楼两栋建筑，建设</w:t>
      </w:r>
      <w:r w:rsidR="00C47214">
        <w:rPr>
          <w:rFonts w:cs="宋体" w:hint="eastAsia"/>
          <w:color w:val="auto"/>
          <w:kern w:val="2"/>
        </w:rPr>
        <w:t>自然</w:t>
      </w:r>
      <w:r w:rsidR="00BD1AE0">
        <w:rPr>
          <w:rFonts w:cs="宋体" w:hint="eastAsia"/>
          <w:color w:val="auto"/>
          <w:kern w:val="2"/>
        </w:rPr>
        <w:t>保护</w:t>
      </w:r>
      <w:r w:rsidR="00C47214">
        <w:rPr>
          <w:rFonts w:cs="宋体" w:hint="eastAsia"/>
          <w:color w:val="auto"/>
          <w:kern w:val="2"/>
        </w:rPr>
        <w:t>小</w:t>
      </w:r>
      <w:r w:rsidR="00BD1AE0">
        <w:rPr>
          <w:rFonts w:cs="宋体" w:hint="eastAsia"/>
          <w:color w:val="auto"/>
          <w:kern w:val="2"/>
        </w:rPr>
        <w:t>区</w:t>
      </w:r>
      <w:r w:rsidR="003D0AB8">
        <w:rPr>
          <w:rFonts w:cs="宋体" w:hint="eastAsia"/>
          <w:color w:val="auto"/>
          <w:kern w:val="2"/>
        </w:rPr>
        <w:t>科学考察</w:t>
      </w:r>
      <w:r>
        <w:rPr>
          <w:rFonts w:cs="宋体" w:hint="eastAsia"/>
          <w:color w:val="auto"/>
          <w:kern w:val="2"/>
        </w:rPr>
        <w:t>站。既有民居占地</w:t>
      </w:r>
      <w:r>
        <w:rPr>
          <w:rFonts w:cs="宋体"/>
          <w:color w:val="auto"/>
          <w:kern w:val="2"/>
        </w:rPr>
        <w:t>567.89</w:t>
      </w:r>
      <w:r>
        <w:rPr>
          <w:rFonts w:cs="宋体" w:hint="eastAsia"/>
          <w:color w:val="auto"/>
          <w:kern w:val="2"/>
        </w:rPr>
        <w:t>㎡，待房屋拆迁后用于二期建设用地。</w:t>
      </w:r>
    </w:p>
    <w:bookmarkEnd w:id="2"/>
    <w:p w:rsidR="00E52A33" w:rsidRDefault="00E52A33">
      <w:p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</w:p>
    <w:p w:rsidR="00E52A33" w:rsidRDefault="00B43DCF">
      <w:pPr>
        <w:spacing w:line="360" w:lineRule="auto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57800" cy="4013835"/>
            <wp:effectExtent l="0" t="0" r="0" b="9525"/>
            <wp:docPr id="23" name="图片 23" descr="a3980de7620a4b04f590eb35a872d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a3980de7620a4b04f590eb35a872da9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01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  <w:szCs w:val="24"/>
        </w:rPr>
        <w:t xml:space="preserve"> </w:t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图1 项目所在</w:t>
      </w:r>
      <w:r>
        <w:rPr>
          <w:b/>
          <w:sz w:val="18"/>
          <w:szCs w:val="18"/>
        </w:rPr>
        <w:t>区位图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  <w:rPr>
          <w:b/>
          <w:sz w:val="18"/>
          <w:szCs w:val="18"/>
        </w:rPr>
      </w:pPr>
      <w:bookmarkStart w:id="3" w:name="_GoBack"/>
      <w:r>
        <w:rPr>
          <w:b/>
          <w:noProof/>
          <w:sz w:val="18"/>
          <w:szCs w:val="18"/>
        </w:rPr>
        <w:drawing>
          <wp:inline distT="0" distB="0" distL="0" distR="0">
            <wp:extent cx="5248275" cy="3500120"/>
            <wp:effectExtent l="0" t="0" r="9525" b="5080"/>
            <wp:docPr id="17" name="图片 17" descr="H:\工作盘\00国家住宅中心工作\0太阳能建筑技术研究所\0台达杯国际太阳能建筑设计竞赛\2022绵阳关坝\100MEDIA\DJI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H:\工作盘\00国家住宅中心工作\0太阳能建筑技术研究所\0台达杯国际太阳能建筑设计竞赛\2022绵阳关坝\100MEDIA\DJI_0004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lum bright="-6000" contrast="6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50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2</w:t>
      </w:r>
      <w:r>
        <w:rPr>
          <w:rFonts w:hint="eastAsia"/>
          <w:b/>
          <w:sz w:val="18"/>
          <w:szCs w:val="18"/>
        </w:rPr>
        <w:t xml:space="preserve"> 项目所在地俯视图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inline distT="0" distB="0" distL="0" distR="0">
            <wp:extent cx="3626485" cy="2484755"/>
            <wp:effectExtent l="0" t="0" r="63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6485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3</w:t>
      </w:r>
      <w:r>
        <w:rPr>
          <w:rFonts w:hint="eastAsia"/>
          <w:b/>
          <w:sz w:val="18"/>
          <w:szCs w:val="18"/>
        </w:rPr>
        <w:t xml:space="preserve"> 规划用地范围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629660" cy="2426335"/>
            <wp:effectExtent l="0" t="0" r="1270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66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4</w:t>
      </w:r>
      <w:r>
        <w:rPr>
          <w:rFonts w:hint="eastAsia"/>
          <w:b/>
          <w:sz w:val="18"/>
          <w:szCs w:val="18"/>
        </w:rPr>
        <w:t xml:space="preserve"> 项目建设用地平面图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637280" cy="2524760"/>
            <wp:effectExtent l="0" t="0" r="508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728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 xml:space="preserve">5 </w:t>
      </w:r>
      <w:r>
        <w:rPr>
          <w:rFonts w:hint="eastAsia"/>
          <w:b/>
          <w:sz w:val="18"/>
          <w:szCs w:val="18"/>
        </w:rPr>
        <w:t>项目建设分期图</w:t>
      </w:r>
    </w:p>
    <w:p w:rsidR="00E52A33" w:rsidRDefault="00B43DCF">
      <w:pPr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114300" distR="114300">
            <wp:extent cx="5241925" cy="2087245"/>
            <wp:effectExtent l="0" t="0" r="635" b="635"/>
            <wp:docPr id="7" name="图片 7" descr="4ddb85e023e8fd89c8be212a4feaa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ddb85e023e8fd89c8be212a4feaa16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168"/>
                    <a:stretch>
                      <a:fillRect/>
                    </a:stretch>
                  </pic:blipFill>
                  <pic:spPr>
                    <a:xfrm>
                      <a:off x="0" y="0"/>
                      <a:ext cx="5241925" cy="208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 xml:space="preserve">6 </w:t>
      </w:r>
      <w:r>
        <w:rPr>
          <w:rFonts w:hint="eastAsia"/>
          <w:b/>
          <w:sz w:val="18"/>
          <w:szCs w:val="18"/>
        </w:rPr>
        <w:t>用地及周边相机方位图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405630" cy="2606040"/>
            <wp:effectExtent l="0" t="0" r="1397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563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 xml:space="preserve">7  </w:t>
      </w:r>
      <w:r>
        <w:rPr>
          <w:rFonts w:eastAsiaTheme="minorHAnsi"/>
          <w:b/>
          <w:sz w:val="18"/>
          <w:szCs w:val="18"/>
        </w:rPr>
        <w:t>①</w:t>
      </w:r>
      <w:r>
        <w:rPr>
          <w:rFonts w:hint="eastAsia"/>
          <w:b/>
          <w:sz w:val="18"/>
          <w:szCs w:val="18"/>
        </w:rPr>
        <w:t>号相机图像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</w:pPr>
      <w:r>
        <w:rPr>
          <w:noProof/>
        </w:rPr>
        <w:drawing>
          <wp:inline distT="0" distB="0" distL="0" distR="0">
            <wp:extent cx="5285105" cy="2667635"/>
            <wp:effectExtent l="0" t="0" r="3175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10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8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②</w:t>
      </w:r>
      <w:r>
        <w:rPr>
          <w:rFonts w:hint="eastAsia"/>
          <w:b/>
          <w:sz w:val="18"/>
          <w:szCs w:val="18"/>
        </w:rPr>
        <w:t>号相机图像</w:t>
      </w:r>
    </w:p>
    <w:p w:rsidR="00E52A33" w:rsidRDefault="00B43DCF">
      <w:pPr>
        <w:jc w:val="center"/>
      </w:pPr>
      <w:r>
        <w:rPr>
          <w:noProof/>
        </w:rPr>
        <w:lastRenderedPageBreak/>
        <w:drawing>
          <wp:inline distT="0" distB="0" distL="0" distR="0">
            <wp:extent cx="3635375" cy="2462530"/>
            <wp:effectExtent l="0" t="0" r="6985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5856"/>
                    <a:stretch>
                      <a:fillRect/>
                    </a:stretch>
                  </pic:blipFill>
                  <pic:spPr>
                    <a:xfrm>
                      <a:off x="0" y="0"/>
                      <a:ext cx="3635375" cy="24625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9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③</w:t>
      </w:r>
      <w:r>
        <w:rPr>
          <w:rFonts w:hint="eastAsia"/>
          <w:b/>
          <w:sz w:val="18"/>
          <w:szCs w:val="18"/>
        </w:rPr>
        <w:t>号相机图像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inline distT="0" distB="0" distL="0" distR="0">
            <wp:extent cx="3636645" cy="2453640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664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10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④</w:t>
      </w:r>
      <w:r>
        <w:rPr>
          <w:rFonts w:hint="eastAsia"/>
          <w:b/>
          <w:sz w:val="18"/>
          <w:szCs w:val="18"/>
        </w:rPr>
        <w:t>号相机图像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654425" cy="2383155"/>
            <wp:effectExtent l="0" t="0" r="317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263" b="3813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11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⑥</w:t>
      </w:r>
      <w:r>
        <w:rPr>
          <w:rFonts w:hint="eastAsia"/>
          <w:b/>
          <w:sz w:val="18"/>
          <w:szCs w:val="18"/>
        </w:rPr>
        <w:t>号相机图像</w:t>
      </w:r>
    </w:p>
    <w:p w:rsidR="00E52A33" w:rsidRDefault="00B43DCF">
      <w:pPr>
        <w:jc w:val="center"/>
      </w:pPr>
      <w:r>
        <w:rPr>
          <w:noProof/>
        </w:rPr>
        <w:lastRenderedPageBreak/>
        <w:drawing>
          <wp:inline distT="0" distB="0" distL="0" distR="0">
            <wp:extent cx="4069080" cy="2354580"/>
            <wp:effectExtent l="0" t="0" r="762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9433" cy="235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12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⑦</w:t>
      </w:r>
      <w:r>
        <w:rPr>
          <w:rFonts w:hint="eastAsia"/>
          <w:b/>
          <w:sz w:val="18"/>
          <w:szCs w:val="18"/>
        </w:rPr>
        <w:t xml:space="preserve">号相机图像 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</w:pPr>
      <w:r>
        <w:rPr>
          <w:noProof/>
        </w:rPr>
        <w:drawing>
          <wp:inline distT="0" distB="0" distL="0" distR="0">
            <wp:extent cx="4069080" cy="2641600"/>
            <wp:effectExtent l="0" t="0" r="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13</w:t>
      </w:r>
      <w:r>
        <w:rPr>
          <w:b/>
        </w:rPr>
        <w:t xml:space="preserve"> </w:t>
      </w:r>
      <w:r>
        <w:rPr>
          <w:b/>
          <w:sz w:val="18"/>
          <w:szCs w:val="18"/>
        </w:rPr>
        <w:t xml:space="preserve"> </w:t>
      </w:r>
      <w:r>
        <w:rPr>
          <w:rFonts w:eastAsiaTheme="minorHAnsi"/>
          <w:b/>
          <w:sz w:val="18"/>
          <w:szCs w:val="18"/>
        </w:rPr>
        <w:t>⑧</w:t>
      </w:r>
      <w:r>
        <w:rPr>
          <w:rFonts w:hint="eastAsia"/>
          <w:b/>
          <w:sz w:val="18"/>
          <w:szCs w:val="18"/>
        </w:rPr>
        <w:t>号相机图像（航拍）</w:t>
      </w:r>
    </w:p>
    <w:p w:rsidR="00E52A33" w:rsidRDefault="00E52A33">
      <w:pPr>
        <w:jc w:val="center"/>
        <w:rPr>
          <w:b/>
          <w:sz w:val="18"/>
          <w:szCs w:val="18"/>
        </w:rPr>
      </w:pPr>
    </w:p>
    <w:p w:rsidR="00E52A33" w:rsidRDefault="00B43DCF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4072890" cy="2487930"/>
            <wp:effectExtent l="0" t="0" r="11430" b="11430"/>
            <wp:docPr id="24" name="图片 24" descr="c925bfc00fc9b9ea7cb6fafe8de01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925bfc00fc9b9ea7cb6fafe8de011e"/>
                    <pic:cNvPicPr>
                      <a:picLocks noChangeAspect="1"/>
                    </pic:cNvPicPr>
                  </pic:nvPicPr>
                  <pic:blipFill>
                    <a:blip r:embed="rId23" cstate="email">
                      <a:lum bright="-6000" contrast="12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89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jc w:val="center"/>
      </w:pPr>
      <w:r>
        <w:rPr>
          <w:rFonts w:hint="eastAsia"/>
          <w:b/>
          <w:sz w:val="18"/>
          <w:szCs w:val="18"/>
        </w:rPr>
        <w:t>图</w:t>
      </w:r>
      <w:r>
        <w:rPr>
          <w:b/>
          <w:sz w:val="18"/>
          <w:szCs w:val="18"/>
        </w:rPr>
        <w:t>14</w:t>
      </w:r>
      <w:r>
        <w:rPr>
          <w:rFonts w:hint="eastAsia"/>
          <w:b/>
          <w:sz w:val="18"/>
          <w:szCs w:val="18"/>
        </w:rPr>
        <w:t xml:space="preserve"> 用地现状图</w:t>
      </w:r>
      <w:r>
        <w:br w:type="page"/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lastRenderedPageBreak/>
        <w:t>设计要求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1） 在给定的竞赛用地范围内，结合考虑地形地貌及现状的村委会和展览接待中心等既有建筑，设计自然保护</w:t>
      </w:r>
      <w:r w:rsidR="003D0AB8">
        <w:rPr>
          <w:rFonts w:ascii="宋体" w:eastAsia="宋体" w:hAnsi="宋体" w:cs="Times New Roman" w:hint="eastAsia"/>
          <w:color w:val="000000"/>
          <w:sz w:val="24"/>
          <w:szCs w:val="24"/>
        </w:rPr>
        <w:t>小</w:t>
      </w:r>
      <w:r>
        <w:rPr>
          <w:rFonts w:ascii="宋体" w:eastAsia="宋体" w:hAnsi="宋体" w:cs="Times New Roman"/>
          <w:color w:val="000000"/>
          <w:sz w:val="24"/>
          <w:szCs w:val="24"/>
        </w:rPr>
        <w:t>区</w:t>
      </w:r>
      <w:r w:rsidR="003D0AB8">
        <w:rPr>
          <w:rFonts w:ascii="宋体" w:eastAsia="宋体" w:hAnsi="宋体" w:cs="Times New Roman" w:hint="eastAsia"/>
          <w:color w:val="000000"/>
          <w:sz w:val="24"/>
          <w:szCs w:val="24"/>
        </w:rPr>
        <w:t>科学考察</w:t>
      </w:r>
      <w:r>
        <w:rPr>
          <w:rFonts w:ascii="宋体" w:eastAsia="宋体" w:hAnsi="宋体" w:cs="Times New Roman"/>
          <w:color w:val="000000"/>
          <w:sz w:val="24"/>
          <w:szCs w:val="24"/>
        </w:rPr>
        <w:t>站、管护办公及村委会、接待客栈及文化广场等项目，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并结合使用功能要求对现状建筑的功能进行优化设计。</w:t>
      </w:r>
      <w:r>
        <w:rPr>
          <w:rFonts w:ascii="宋体" w:eastAsia="宋体" w:hAnsi="宋体" w:cs="Times New Roman"/>
          <w:color w:val="000000"/>
          <w:sz w:val="24"/>
          <w:szCs w:val="24"/>
        </w:rPr>
        <w:t>具体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要求</w:t>
      </w:r>
      <w:r>
        <w:rPr>
          <w:rFonts w:ascii="宋体" w:eastAsia="宋体" w:hAnsi="宋体" w:cs="Times New Roman"/>
          <w:color w:val="000000"/>
          <w:sz w:val="24"/>
          <w:szCs w:val="24"/>
        </w:rPr>
        <w:t>见附表，总建筑面积</w:t>
      </w:r>
      <w:r>
        <w:rPr>
          <w:rFonts w:ascii="宋体" w:eastAsia="宋体" w:hAnsi="宋体" w:cs="Times New Roman"/>
          <w:color w:val="FF0000"/>
          <w:sz w:val="24"/>
          <w:szCs w:val="24"/>
        </w:rPr>
        <w:t>2100</w:t>
      </w:r>
      <w:r>
        <w:rPr>
          <w:rFonts w:ascii="宋体" w:eastAsia="宋体" w:hAnsi="宋体" w:cs="Times New Roman"/>
          <w:color w:val="000000"/>
          <w:sz w:val="24"/>
          <w:szCs w:val="24"/>
        </w:rPr>
        <w:t>㎡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（含既有建筑）</w:t>
      </w:r>
      <w:r>
        <w:rPr>
          <w:rFonts w:ascii="宋体" w:eastAsia="宋体" w:hAnsi="宋体" w:cs="Times New Roman"/>
          <w:color w:val="000000"/>
          <w:sz w:val="24"/>
          <w:szCs w:val="24"/>
        </w:rPr>
        <w:t>。设置可同时停放1辆大巴和5辆小车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的</w:t>
      </w:r>
      <w:r>
        <w:rPr>
          <w:rFonts w:ascii="宋体" w:eastAsia="宋体" w:hAnsi="宋体" w:cs="Times New Roman"/>
          <w:color w:val="000000"/>
          <w:sz w:val="24"/>
          <w:szCs w:val="24"/>
        </w:rPr>
        <w:t>停车场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2） 建设用地内的既有民居及所占用地，作为二期用地，用于数字体验中心的建设，二期建设的数字体验中心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应</w:t>
      </w:r>
      <w:r>
        <w:rPr>
          <w:rFonts w:ascii="宋体" w:eastAsia="宋体" w:hAnsi="宋体" w:cs="Times New Roman"/>
          <w:color w:val="000000"/>
          <w:sz w:val="24"/>
          <w:szCs w:val="24"/>
        </w:rPr>
        <w:t>与一期建设的接待中心联系便利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>
        <w:rPr>
          <w:rFonts w:ascii="宋体" w:eastAsia="宋体" w:hAnsi="宋体" w:cs="Times New Roman"/>
          <w:color w:val="000000"/>
          <w:sz w:val="24"/>
          <w:szCs w:val="24"/>
        </w:rPr>
        <w:t>并利于分期建设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3） 新建建筑应与现状地形和周边环境有机结合，建筑层数以1层为主，必要时可局部2层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4） 材料选型、建造方法、运行维护全过程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应</w:t>
      </w:r>
      <w:r>
        <w:rPr>
          <w:rFonts w:ascii="宋体" w:eastAsia="宋体" w:hAnsi="宋体" w:cs="Times New Roman"/>
          <w:color w:val="000000"/>
          <w:sz w:val="24"/>
          <w:szCs w:val="24"/>
        </w:rPr>
        <w:t>考虑低碳减排的设计方法和建造措施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5） 考虑当地的气候特点和自然环境，结合当地的建筑材料和建筑特点，解决建筑的冬季需要采暖，夏天不需要制冷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>
        <w:rPr>
          <w:rFonts w:ascii="宋体" w:eastAsia="宋体" w:hAnsi="宋体" w:cs="Times New Roman"/>
          <w:color w:val="000000"/>
          <w:sz w:val="24"/>
          <w:szCs w:val="24"/>
        </w:rPr>
        <w:t>强调通风隔热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等</w:t>
      </w:r>
      <w:r>
        <w:rPr>
          <w:rFonts w:ascii="宋体" w:eastAsia="宋体" w:hAnsi="宋体" w:cs="Times New Roman"/>
          <w:color w:val="000000"/>
          <w:sz w:val="24"/>
          <w:szCs w:val="24"/>
        </w:rPr>
        <w:t>特点，合理选用主、被动太阳能技术及低碳建造技术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6） 在规划用地之外，G247国道与进村路连接处，因山体原因在南向北方向存在视线盲区，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建议</w:t>
      </w:r>
      <w:r>
        <w:rPr>
          <w:rFonts w:ascii="宋体" w:eastAsia="宋体" w:hAnsi="宋体" w:cs="Times New Roman"/>
          <w:color w:val="000000"/>
          <w:sz w:val="24"/>
          <w:szCs w:val="24"/>
        </w:rPr>
        <w:t>结合保护区标识设置的同时做相应处理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 xml:space="preserve">7） 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建议</w:t>
      </w:r>
      <w:r>
        <w:rPr>
          <w:rFonts w:ascii="宋体" w:eastAsia="宋体" w:hAnsi="宋体" w:cs="Times New Roman"/>
          <w:color w:val="000000"/>
          <w:sz w:val="24"/>
          <w:szCs w:val="24"/>
        </w:rPr>
        <w:t>结合关坝村市政配套设施，合理选择相应的垃圾处理和污水无害化处理等生态环保的应对措施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/>
          <w:color w:val="000000"/>
          <w:sz w:val="24"/>
          <w:szCs w:val="24"/>
        </w:rPr>
        <w:t>8） 考虑项目的经济性和可推广性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；</w:t>
      </w:r>
    </w:p>
    <w:p w:rsidR="00E52A33" w:rsidRDefault="00B43DCF">
      <w:pPr>
        <w:pStyle w:val="ab"/>
        <w:spacing w:line="360" w:lineRule="auto"/>
        <w:ind w:firstLineChars="177" w:firstLine="425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color w:val="000000"/>
          <w:sz w:val="24"/>
          <w:szCs w:val="24"/>
        </w:rPr>
        <w:t>9） 竞赛用地及功能设置表如下图所示：</w:t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color w:val="FF0000"/>
          <w:kern w:val="2"/>
        </w:rPr>
      </w:pPr>
      <w:r>
        <w:rPr>
          <w:rFonts w:hint="eastAsia"/>
          <w:lang w:bidi="ar"/>
        </w:rPr>
        <w:t>用地及功能设置表</w:t>
      </w:r>
    </w:p>
    <w:tbl>
      <w:tblPr>
        <w:tblStyle w:val="aa"/>
        <w:tblW w:w="8363" w:type="dxa"/>
        <w:tblLayout w:type="fixed"/>
        <w:tblLook w:val="04A0" w:firstRow="1" w:lastRow="0" w:firstColumn="1" w:lastColumn="0" w:noHBand="0" w:noVBand="1"/>
      </w:tblPr>
      <w:tblGrid>
        <w:gridCol w:w="1072"/>
        <w:gridCol w:w="1848"/>
        <w:gridCol w:w="660"/>
        <w:gridCol w:w="1093"/>
        <w:gridCol w:w="3690"/>
      </w:tblGrid>
      <w:tr w:rsidR="00E52A33">
        <w:trPr>
          <w:trHeight w:val="31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功能空间</w:t>
            </w:r>
          </w:p>
        </w:tc>
        <w:tc>
          <w:tcPr>
            <w:tcW w:w="1848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内容要求</w:t>
            </w:r>
          </w:p>
        </w:tc>
        <w:tc>
          <w:tcPr>
            <w:tcW w:w="660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数量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使用面积</w:t>
            </w:r>
          </w:p>
        </w:tc>
        <w:tc>
          <w:tcPr>
            <w:tcW w:w="3690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备注</w:t>
            </w:r>
          </w:p>
        </w:tc>
      </w:tr>
      <w:tr w:rsidR="00E52A33">
        <w:trPr>
          <w:trHeight w:val="303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  <w:vMerge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660" w:type="dxa"/>
            <w:vMerge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/>
                <w:b/>
                <w:bCs/>
                <w:color w:val="000000"/>
                <w:kern w:val="0"/>
                <w:szCs w:val="21"/>
              </w:rPr>
              <w:t>（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㎡</w:t>
            </w:r>
            <w:r>
              <w:rPr>
                <w:rFonts w:ascii="宋体" w:eastAsia="宋体" w:hAnsi="宋体" w:cs="宋体"/>
                <w:b/>
                <w:bCs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690" w:type="dxa"/>
            <w:vMerge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</w:tr>
      <w:tr w:rsidR="00E52A33">
        <w:trPr>
          <w:trHeight w:val="36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来访接待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接待大厅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门厅等来访人员接待缓冲空间，与访客小憩空间相邻互通。</w:t>
            </w:r>
          </w:p>
        </w:tc>
      </w:tr>
      <w:tr w:rsidR="00E52A33">
        <w:trPr>
          <w:trHeight w:val="36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访客小憩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休息区</w:t>
            </w:r>
          </w:p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为到访人员小憩提供座椅休息区，与接待大厅相邻、扩展集散缓冲空间。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水吧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可提供开水并销售饮料、茶水等。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卫生间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综合考虑访客集中到达、平时人员较少的使用特点。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特产展售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展示及销售本地区特色产品。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储藏室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特产库房。　</w:t>
            </w:r>
          </w:p>
        </w:tc>
      </w:tr>
      <w:tr w:rsidR="00E52A33">
        <w:trPr>
          <w:trHeight w:val="28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展览展示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实物、展板、影像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300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通过实物、展板、影像等方式宣传展示自然保护区的自然和生态人文地理。</w:t>
            </w:r>
          </w:p>
        </w:tc>
      </w:tr>
      <w:tr w:rsidR="00E52A33">
        <w:trPr>
          <w:trHeight w:val="24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研学教室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教学互动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120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为来访、科学考察、研学等人员、提供工作与交流的空间，空间要求可合并为一个大空间，共可最多容纳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6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0人。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储藏室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为研学教室的多功能使用提供一定的收纳储藏空间。　</w:t>
            </w:r>
          </w:p>
        </w:tc>
      </w:tr>
      <w:tr w:rsidR="00E52A33">
        <w:trPr>
          <w:trHeight w:val="30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办公接待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办公室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两间行政管理办公用空间。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洽谈室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12人小型会议室，用于内部接待洽谈。</w:t>
            </w:r>
          </w:p>
        </w:tc>
      </w:tr>
      <w:tr w:rsidR="00E52A33">
        <w:trPr>
          <w:trHeight w:val="32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其他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走道等辅助空间</w:t>
            </w:r>
          </w:p>
        </w:tc>
        <w:tc>
          <w:tcPr>
            <w:tcW w:w="660" w:type="dxa"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用于室内交通等功能。</w:t>
            </w:r>
          </w:p>
        </w:tc>
      </w:tr>
      <w:tr w:rsidR="00E52A33">
        <w:trPr>
          <w:trHeight w:val="303"/>
        </w:trPr>
        <w:tc>
          <w:tcPr>
            <w:tcW w:w="1072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E52A33">
            <w:pPr>
              <w:widowControl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660" w:type="dxa"/>
          </w:tcPr>
          <w:p w:rsidR="00E52A33" w:rsidRDefault="00E52A33">
            <w:pPr>
              <w:widowControl/>
              <w:jc w:val="left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1093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3690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</w:tr>
      <w:tr w:rsidR="00E52A33">
        <w:trPr>
          <w:trHeight w:val="30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管护办公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办公室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 w:cs="宋体"/>
                <w:kern w:val="0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保护区及村办公用空间。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值班室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15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24小时值班，与监控室相邻。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监控室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15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接待中心及村域范围视频监控。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会议室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3</w:t>
            </w:r>
            <w:r>
              <w:rPr>
                <w:rFonts w:ascii="宋体" w:eastAsia="宋体" w:hAnsi="宋体" w:cs="宋体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办公行政会议等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走道等辅助空间</w:t>
            </w:r>
          </w:p>
        </w:tc>
        <w:tc>
          <w:tcPr>
            <w:tcW w:w="660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2</w:t>
            </w:r>
            <w:r>
              <w:rPr>
                <w:rFonts w:ascii="宋体" w:eastAsia="宋体" w:hAnsi="宋体" w:cs="宋体"/>
                <w:kern w:val="0"/>
                <w:szCs w:val="21"/>
              </w:rPr>
              <w:t>5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门廊、外廊楼梯等</w:t>
            </w:r>
          </w:p>
        </w:tc>
      </w:tr>
      <w:tr w:rsidR="00E52A33">
        <w:trPr>
          <w:trHeight w:val="260"/>
        </w:trPr>
        <w:tc>
          <w:tcPr>
            <w:tcW w:w="1072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E52A33">
            <w:pPr>
              <w:widowControl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660" w:type="dxa"/>
          </w:tcPr>
          <w:p w:rsidR="00E52A33" w:rsidRDefault="00E52A33">
            <w:pPr>
              <w:widowControl/>
              <w:jc w:val="left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1093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3690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</w:tr>
      <w:tr w:rsidR="00E52A33">
        <w:trPr>
          <w:trHeight w:val="320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住宿接待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客房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FF0000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24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来访、科考、研学等人员的住宿接待，提供客房1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0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间。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接待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门厅、柜台集散空间。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辅助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配套服务用房、库房等。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 w:val="restart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食堂厨房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餐厅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90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 xml:space="preserve">最多容纳50人同时用餐餐厅。　</w:t>
            </w:r>
          </w:p>
        </w:tc>
      </w:tr>
      <w:tr w:rsidR="00E52A33">
        <w:trPr>
          <w:trHeight w:val="288"/>
        </w:trPr>
        <w:tc>
          <w:tcPr>
            <w:tcW w:w="1072" w:type="dxa"/>
            <w:vMerge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厨房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/>
                <w:kern w:val="0"/>
                <w:szCs w:val="21"/>
              </w:rPr>
              <w:t>35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最多提供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50人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同时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>用餐厨房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。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</w:rPr>
              <w:t xml:space="preserve">　　</w:t>
            </w:r>
          </w:p>
        </w:tc>
      </w:tr>
      <w:tr w:rsidR="00E52A33">
        <w:trPr>
          <w:trHeight w:val="26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其他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走道等辅助空间</w:t>
            </w:r>
          </w:p>
        </w:tc>
        <w:tc>
          <w:tcPr>
            <w:tcW w:w="660" w:type="dxa"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FF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 w:cs="宋体"/>
                <w:kern w:val="0"/>
                <w:szCs w:val="21"/>
              </w:rPr>
              <w:t>60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楼梯走廊、库房、洗衣房（含自助）等空间。</w:t>
            </w:r>
          </w:p>
        </w:tc>
      </w:tr>
      <w:tr w:rsidR="00E52A33">
        <w:trPr>
          <w:trHeight w:val="28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公共厕所</w:t>
            </w:r>
          </w:p>
        </w:tc>
        <w:tc>
          <w:tcPr>
            <w:tcW w:w="1848" w:type="dxa"/>
          </w:tcPr>
          <w:p w:rsidR="00E52A33" w:rsidRDefault="00E52A33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服务于室外公共区域。</w:t>
            </w:r>
          </w:p>
        </w:tc>
      </w:tr>
      <w:tr w:rsidR="00E52A33">
        <w:trPr>
          <w:trHeight w:val="280"/>
        </w:trPr>
        <w:tc>
          <w:tcPr>
            <w:tcW w:w="1072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848" w:type="dxa"/>
          </w:tcPr>
          <w:p w:rsidR="00E52A33" w:rsidRDefault="00E52A33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660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093" w:type="dxa"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690" w:type="dxa"/>
          </w:tcPr>
          <w:p w:rsidR="00E52A33" w:rsidRDefault="00E52A33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</w:p>
        </w:tc>
      </w:tr>
      <w:tr w:rsidR="00E52A33">
        <w:trPr>
          <w:trHeight w:val="240"/>
        </w:trPr>
        <w:tc>
          <w:tcPr>
            <w:tcW w:w="1072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数字互动</w:t>
            </w:r>
          </w:p>
        </w:tc>
        <w:tc>
          <w:tcPr>
            <w:tcW w:w="1848" w:type="dxa"/>
          </w:tcPr>
          <w:p w:rsidR="00E52A33" w:rsidRDefault="00B43DCF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VR数字体验、辅助用房</w:t>
            </w:r>
          </w:p>
        </w:tc>
        <w:tc>
          <w:tcPr>
            <w:tcW w:w="660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093" w:type="dxa"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300</w:t>
            </w:r>
          </w:p>
        </w:tc>
        <w:tc>
          <w:tcPr>
            <w:tcW w:w="3690" w:type="dxa"/>
          </w:tcPr>
          <w:p w:rsidR="00E52A33" w:rsidRDefault="00B43DCF">
            <w:pPr>
              <w:widowControl/>
              <w:rPr>
                <w:rFonts w:ascii="宋体" w:eastAsia="宋体" w:hAnsi="宋体" w:cs="宋体"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</w:rPr>
              <w:t>二期用地。</w:t>
            </w:r>
          </w:p>
        </w:tc>
      </w:tr>
      <w:tr w:rsidR="00E52A33">
        <w:trPr>
          <w:trHeight w:val="280"/>
        </w:trPr>
        <w:tc>
          <w:tcPr>
            <w:tcW w:w="1072" w:type="dxa"/>
            <w:noWrap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合计</w:t>
            </w:r>
          </w:p>
        </w:tc>
        <w:tc>
          <w:tcPr>
            <w:tcW w:w="1848" w:type="dxa"/>
            <w:noWrap/>
          </w:tcPr>
          <w:p w:rsidR="00E52A33" w:rsidRDefault="00E52A3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660" w:type="dxa"/>
            <w:noWrap/>
          </w:tcPr>
          <w:p w:rsidR="00E52A33" w:rsidRDefault="00E52A33">
            <w:pPr>
              <w:widowControl/>
              <w:jc w:val="left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</w:p>
        </w:tc>
        <w:tc>
          <w:tcPr>
            <w:tcW w:w="1093" w:type="dxa"/>
            <w:noWrap/>
          </w:tcPr>
          <w:p w:rsidR="00E52A33" w:rsidRDefault="00B43DCF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/>
                <w:kern w:val="0"/>
                <w:sz w:val="22"/>
              </w:rPr>
              <w:t>2000</w:t>
            </w:r>
          </w:p>
        </w:tc>
        <w:tc>
          <w:tcPr>
            <w:tcW w:w="3690" w:type="dxa"/>
            <w:noWrap/>
          </w:tcPr>
          <w:p w:rsidR="00E52A33" w:rsidRDefault="00E52A33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</w:tr>
    </w:tbl>
    <w:p w:rsidR="00E52A33" w:rsidRDefault="00B43DCF">
      <w:pPr>
        <w:rPr>
          <w:color w:val="FF0000"/>
        </w:rPr>
      </w:pPr>
      <w:r>
        <w:rPr>
          <w:rFonts w:hint="eastAsia"/>
          <w:color w:val="FF0000"/>
        </w:rPr>
        <w:br w:type="page"/>
      </w:r>
    </w:p>
    <w:p w:rsidR="00E52A33" w:rsidRDefault="00E52A33">
      <w:pPr>
        <w:rPr>
          <w:color w:val="FF0000"/>
        </w:rPr>
      </w:pP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评比办法：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color w:val="auto"/>
        </w:rPr>
        <w:t>1</w:t>
      </w:r>
      <w:r>
        <w:rPr>
          <w:rFonts w:hint="eastAsia"/>
          <w:color w:val="auto"/>
        </w:rPr>
        <w:t>）</w:t>
      </w:r>
      <w:r>
        <w:rPr>
          <w:color w:val="auto"/>
        </w:rPr>
        <w:t>由组委会审查参赛资格，并</w:t>
      </w:r>
      <w:r>
        <w:rPr>
          <w:rFonts w:hint="eastAsia"/>
          <w:color w:val="auto"/>
        </w:rPr>
        <w:t>确定</w:t>
      </w:r>
      <w:r>
        <w:rPr>
          <w:color w:val="auto"/>
        </w:rPr>
        <w:t>入围作品</w:t>
      </w:r>
      <w:r>
        <w:rPr>
          <w:rFonts w:hint="eastAsia"/>
          <w:color w:val="auto"/>
        </w:rPr>
        <w:t>；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color w:val="auto"/>
        </w:rPr>
        <w:t>2</w:t>
      </w:r>
      <w:r>
        <w:rPr>
          <w:rFonts w:hint="eastAsia"/>
          <w:color w:val="auto"/>
        </w:rPr>
        <w:t>）</w:t>
      </w:r>
      <w:r>
        <w:rPr>
          <w:color w:val="auto"/>
        </w:rPr>
        <w:t>由评委会评选出竞赛</w:t>
      </w:r>
      <w:r>
        <w:rPr>
          <w:rFonts w:hint="eastAsia"/>
          <w:color w:val="auto"/>
        </w:rPr>
        <w:t>获奖作品</w:t>
      </w:r>
      <w:r>
        <w:rPr>
          <w:color w:val="auto"/>
        </w:rPr>
        <w:t>。</w:t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评比标准：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color w:val="auto"/>
        </w:rPr>
        <w:t>1</w:t>
      </w:r>
      <w:r>
        <w:rPr>
          <w:rFonts w:hint="eastAsia"/>
          <w:color w:val="auto"/>
        </w:rPr>
        <w:t>）</w:t>
      </w:r>
      <w:r>
        <w:rPr>
          <w:color w:val="auto"/>
        </w:rPr>
        <w:t xml:space="preserve"> 参赛作品须符合本竞赛</w:t>
      </w:r>
      <w:r>
        <w:rPr>
          <w:rFonts w:hint="eastAsia"/>
          <w:color w:val="auto"/>
        </w:rPr>
        <w:t>“</w:t>
      </w:r>
      <w:r>
        <w:rPr>
          <w:color w:val="auto"/>
        </w:rPr>
        <w:t>作品要求</w:t>
      </w:r>
      <w:r>
        <w:rPr>
          <w:rFonts w:hint="eastAsia"/>
          <w:color w:val="auto"/>
        </w:rPr>
        <w:t>”</w:t>
      </w:r>
      <w:r>
        <w:rPr>
          <w:color w:val="auto"/>
        </w:rPr>
        <w:t>的内容</w:t>
      </w:r>
      <w:r>
        <w:rPr>
          <w:rFonts w:hint="eastAsia"/>
          <w:color w:val="auto"/>
        </w:rPr>
        <w:t>；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color w:val="auto"/>
        </w:rPr>
        <w:t>2</w:t>
      </w:r>
      <w:r>
        <w:rPr>
          <w:rFonts w:hint="eastAsia"/>
          <w:color w:val="auto"/>
        </w:rPr>
        <w:t>）</w:t>
      </w:r>
      <w:r>
        <w:rPr>
          <w:color w:val="auto"/>
        </w:rPr>
        <w:t xml:space="preserve"> 作品应</w:t>
      </w:r>
      <w:r>
        <w:rPr>
          <w:rFonts w:hint="eastAsia"/>
          <w:color w:val="auto"/>
        </w:rPr>
        <w:t>具有</w:t>
      </w:r>
      <w:r>
        <w:rPr>
          <w:color w:val="auto"/>
        </w:rPr>
        <w:t>原创性</w:t>
      </w:r>
      <w:r>
        <w:rPr>
          <w:rFonts w:hint="eastAsia"/>
          <w:color w:val="auto"/>
        </w:rPr>
        <w:t>，</w:t>
      </w:r>
      <w:r>
        <w:rPr>
          <w:color w:val="auto"/>
        </w:rPr>
        <w:t>鼓励</w:t>
      </w:r>
      <w:r>
        <w:rPr>
          <w:rFonts w:hint="eastAsia"/>
          <w:color w:val="auto"/>
        </w:rPr>
        <w:t>创新；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color w:val="auto"/>
        </w:rPr>
        <w:t>3</w:t>
      </w:r>
      <w:r>
        <w:rPr>
          <w:rFonts w:hint="eastAsia"/>
          <w:color w:val="auto"/>
        </w:rPr>
        <w:t>）</w:t>
      </w:r>
      <w:r>
        <w:rPr>
          <w:color w:val="auto"/>
        </w:rPr>
        <w:t xml:space="preserve"> 作品应</w:t>
      </w:r>
      <w:r>
        <w:rPr>
          <w:rFonts w:hint="eastAsia"/>
          <w:color w:val="auto"/>
        </w:rPr>
        <w:t>满足使用功能、绿色低碳、安全健康的要求，建筑技术与太阳能利用技术具有适配性；</w:t>
      </w:r>
    </w:p>
    <w:p w:rsidR="00E52A33" w:rsidRDefault="00B43DCF">
      <w:pPr>
        <w:pStyle w:val="a9"/>
        <w:spacing w:before="15" w:beforeAutospacing="0" w:after="15" w:afterAutospacing="0" w:line="360" w:lineRule="auto"/>
        <w:ind w:leftChars="200" w:left="420" w:firstLineChars="50" w:firstLine="120"/>
        <w:rPr>
          <w:color w:val="auto"/>
        </w:rPr>
      </w:pPr>
      <w:r>
        <w:rPr>
          <w:rFonts w:hint="eastAsia"/>
          <w:color w:val="auto"/>
        </w:rPr>
        <w:t>4）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作品应充分体现太阳能利用技术对降低建筑使用能耗的作用，在经济、技术层面具有可实施性</w:t>
      </w:r>
      <w:r>
        <w:rPr>
          <w:color w:val="auto"/>
        </w:rPr>
        <w:t>。</w:t>
      </w:r>
    </w:p>
    <w:tbl>
      <w:tblPr>
        <w:tblW w:w="851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131"/>
        <w:gridCol w:w="5656"/>
        <w:gridCol w:w="724"/>
      </w:tblGrid>
      <w:tr w:rsidR="00E52A33">
        <w:trPr>
          <w:trHeight w:val="726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center"/>
              <w:rPr>
                <w:rFonts w:cs="宋体"/>
                <w:b/>
                <w:color w:val="000000"/>
                <w:kern w:val="0"/>
                <w:szCs w:val="21"/>
                <w:lang w:bidi="hi-IN"/>
              </w:rPr>
            </w:pPr>
            <w:r>
              <w:rPr>
                <w:rFonts w:cs="宋体" w:hint="eastAsia"/>
                <w:b/>
                <w:color w:val="000000"/>
                <w:kern w:val="0"/>
                <w:szCs w:val="21"/>
                <w:lang w:bidi="hi-IN"/>
              </w:rPr>
              <w:t>评比指标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center"/>
              <w:rPr>
                <w:rFonts w:cs="宋体"/>
                <w:b/>
                <w:color w:val="000000"/>
                <w:kern w:val="0"/>
                <w:szCs w:val="21"/>
                <w:lang w:bidi="hi-IN"/>
              </w:rPr>
            </w:pPr>
            <w:r>
              <w:rPr>
                <w:rFonts w:cs="宋体" w:hint="eastAsia"/>
                <w:b/>
                <w:color w:val="000000"/>
                <w:kern w:val="0"/>
                <w:szCs w:val="21"/>
                <w:lang w:bidi="hi-IN"/>
              </w:rPr>
              <w:t>指标说明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center"/>
              <w:rPr>
                <w:rFonts w:cs="宋体"/>
                <w:b/>
                <w:color w:val="000000"/>
                <w:kern w:val="0"/>
                <w:szCs w:val="21"/>
                <w:lang w:bidi="hi-IN"/>
              </w:rPr>
            </w:pPr>
            <w:r>
              <w:rPr>
                <w:rFonts w:cs="宋体" w:hint="eastAsia"/>
                <w:b/>
                <w:color w:val="000000"/>
                <w:kern w:val="0"/>
                <w:szCs w:val="21"/>
                <w:lang w:bidi="hi-IN"/>
              </w:rPr>
              <w:t>分值</w:t>
            </w:r>
          </w:p>
        </w:tc>
      </w:tr>
      <w:tr w:rsidR="00E52A33">
        <w:trPr>
          <w:trHeight w:val="450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规划与建筑设计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规划布局、建筑空间组合、功能流线组织、建筑艺术。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  <w:t>50</w:t>
            </w:r>
          </w:p>
        </w:tc>
      </w:tr>
      <w:tr w:rsidR="00E52A33">
        <w:trPr>
          <w:trHeight w:val="595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被动太阳能采暖技术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利用建筑设计与建筑构造实现建筑采暖与蓄热。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hi-IN"/>
              </w:rPr>
              <w:t>2</w:t>
            </w:r>
            <w:r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  <w:t>5</w:t>
            </w:r>
          </w:p>
        </w:tc>
      </w:tr>
      <w:tr w:rsidR="00E52A33">
        <w:trPr>
          <w:trHeight w:val="600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主动太阳能利用技术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太阳能光伏、光热等主动太阳能技术的利用。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  <w:t>10</w:t>
            </w:r>
          </w:p>
        </w:tc>
      </w:tr>
      <w:tr w:rsidR="00E52A33">
        <w:trPr>
          <w:trHeight w:val="592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hi-IN"/>
              </w:rPr>
              <w:t>采用的其他技术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00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hi-IN"/>
              </w:rPr>
              <w:t>建造与运行过程中的绿色</w:t>
            </w:r>
            <w:r>
              <w:rPr>
                <w:rFonts w:ascii="宋体" w:eastAsia="宋体" w:hAnsi="宋体" w:cs="宋体"/>
                <w:color w:val="000000"/>
                <w:kern w:val="0"/>
                <w:szCs w:val="21"/>
                <w:lang w:bidi="hi-IN"/>
              </w:rPr>
              <w:t>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hi-IN"/>
              </w:rPr>
              <w:t>低碳、安全、健康技术。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color w:val="FF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hi-IN"/>
              </w:rPr>
              <w:t>15</w:t>
            </w:r>
          </w:p>
        </w:tc>
      </w:tr>
      <w:tr w:rsidR="00E52A33">
        <w:trPr>
          <w:trHeight w:val="598"/>
          <w:jc w:val="center"/>
        </w:trPr>
        <w:tc>
          <w:tcPr>
            <w:tcW w:w="2131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bCs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Cs w:val="21"/>
                <w:lang w:bidi="hi-IN"/>
              </w:rPr>
              <w:t>可操作性</w:t>
            </w:r>
          </w:p>
        </w:tc>
        <w:tc>
          <w:tcPr>
            <w:tcW w:w="5656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bCs/>
                <w:color w:val="00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kern w:val="0"/>
                <w:szCs w:val="21"/>
                <w:lang w:bidi="hi-IN"/>
              </w:rPr>
              <w:t>作品的可实施性，技术的经济性和普适性。</w:t>
            </w:r>
          </w:p>
        </w:tc>
        <w:tc>
          <w:tcPr>
            <w:tcW w:w="724" w:type="dxa"/>
            <w:vAlign w:val="center"/>
          </w:tcPr>
          <w:p w:rsidR="00E52A33" w:rsidRDefault="00B43DCF">
            <w:pPr>
              <w:widowControl/>
              <w:spacing w:line="360" w:lineRule="exact"/>
              <w:jc w:val="left"/>
              <w:rPr>
                <w:rFonts w:ascii="宋体" w:eastAsia="宋体" w:hAnsi="宋体" w:cs="宋体"/>
                <w:bCs/>
                <w:color w:val="FF0000"/>
                <w:kern w:val="0"/>
                <w:szCs w:val="21"/>
                <w:lang w:bidi="hi-IN"/>
              </w:rPr>
            </w:pPr>
            <w:r>
              <w:rPr>
                <w:rFonts w:ascii="宋体" w:eastAsia="宋体" w:hAnsi="宋体" w:cs="宋体" w:hint="eastAsia"/>
                <w:bCs/>
                <w:color w:val="FF0000"/>
                <w:kern w:val="0"/>
                <w:szCs w:val="21"/>
                <w:lang w:bidi="hi-IN"/>
              </w:rPr>
              <w:t>10</w:t>
            </w:r>
          </w:p>
        </w:tc>
      </w:tr>
    </w:tbl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图纸要求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设计深度达到方案设计深度要求，主要技术应有相关的技术图纸和指标。作品图面、文字表达清楚，数据准确。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需提交方案设计说明，应包括方案构思、太阳能技术、低碳技术与设计创新（限</w:t>
      </w:r>
      <w:r>
        <w:rPr>
          <w:color w:val="auto"/>
        </w:rPr>
        <w:t>200字以内），技术经济指标表。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提交作品需进行竞赛用地范围内的规划设计，总平面图（含活动场地及环境设计）。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提交作品需体现规划用地范围内的新建建筑、既有建筑、景观布局及交通流线组织，与项目周边自然环境和村庄的关系，进村道路与</w:t>
      </w:r>
      <w:r>
        <w:rPr>
          <w:color w:val="auto"/>
        </w:rPr>
        <w:t>G247国道连接点等部位的标志与交通组织的处理。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lastRenderedPageBreak/>
        <w:t>充分表达建筑与室内外环境关系的平面图、立面图、剖面图，比例不小于</w:t>
      </w:r>
      <w:r>
        <w:rPr>
          <w:color w:val="auto"/>
        </w:rPr>
        <w:t>1:200。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能表现出技术与建筑结合的重点部位、局部详图及节点大样，比例自定；低碳及其他相关的技术图、分析图。</w:t>
      </w:r>
    </w:p>
    <w:p w:rsidR="00E52A33" w:rsidRDefault="00B43DCF">
      <w:pPr>
        <w:pStyle w:val="a9"/>
        <w:numPr>
          <w:ilvl w:val="0"/>
          <w:numId w:val="2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整体社区、地块、建筑单体效果表现图。</w:t>
      </w:r>
    </w:p>
    <w:p w:rsidR="00E52A33" w:rsidRDefault="00B43DCF">
      <w:pPr>
        <w:pStyle w:val="a9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b/>
          <w:color w:val="auto"/>
          <w:kern w:val="2"/>
        </w:rPr>
      </w:pPr>
      <w:r>
        <w:rPr>
          <w:rFonts w:hint="eastAsia"/>
          <w:b/>
          <w:color w:val="auto"/>
          <w:kern w:val="2"/>
        </w:rPr>
        <w:t>文字要求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“建筑方案设计说明”采用中英文双语，其他为英文（建议使用附件</w:t>
      </w:r>
      <w:r>
        <w:rPr>
          <w:color w:val="auto"/>
        </w:rPr>
        <w:t>3中提供的专业术语）。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排版要求：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color w:val="auto"/>
        </w:rPr>
        <w:t>A1展版(594mm×841mm)区域内，统一采用竖向构图，作品张数应为4或6张（偶数）；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中文字体大小于</w:t>
      </w:r>
      <w:r>
        <w:rPr>
          <w:color w:val="auto"/>
        </w:rPr>
        <w:t>6mm，英文字体不小于4mm；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文件分辨率</w:t>
      </w:r>
      <w:r>
        <w:rPr>
          <w:color w:val="auto"/>
        </w:rPr>
        <w:t>300 dpi，格式为JPG或PDF文件；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提交参赛者信息表，格式为</w:t>
      </w:r>
      <w:r>
        <w:rPr>
          <w:color w:val="auto"/>
        </w:rPr>
        <w:t>JPG或PDF文件。</w:t>
      </w:r>
    </w:p>
    <w:p w:rsidR="00E52A33" w:rsidRDefault="00B43DCF">
      <w:pPr>
        <w:pStyle w:val="a9"/>
        <w:numPr>
          <w:ilvl w:val="0"/>
          <w:numId w:val="3"/>
        </w:numPr>
        <w:spacing w:before="15" w:beforeAutospacing="0" w:after="15" w:afterAutospacing="0" w:line="360" w:lineRule="auto"/>
        <w:rPr>
          <w:color w:val="auto"/>
        </w:rPr>
      </w:pPr>
      <w:r>
        <w:rPr>
          <w:rFonts w:hint="eastAsia"/>
          <w:color w:val="auto"/>
        </w:rPr>
        <w:t>上传方式：</w:t>
      </w:r>
    </w:p>
    <w:p w:rsidR="00E52A33" w:rsidRDefault="00B43DCF" w:rsidP="00D0748F">
      <w:pPr>
        <w:pStyle w:val="a9"/>
        <w:spacing w:before="15" w:beforeAutospacing="0" w:after="15" w:afterAutospacing="0" w:line="360" w:lineRule="auto"/>
        <w:ind w:firstLineChars="200" w:firstLine="480"/>
        <w:rPr>
          <w:color w:val="auto"/>
        </w:rPr>
      </w:pPr>
      <w:r>
        <w:rPr>
          <w:rFonts w:hint="eastAsia"/>
          <w:color w:val="auto"/>
        </w:rPr>
        <w:t>参赛者通过竞赛网页上传功能将作品递交竞赛组委会，入围作品由组委会统一编辑板眉、出图、制作展版。</w:t>
      </w: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both"/>
        <w:rPr>
          <w:color w:val="FF0000"/>
        </w:rPr>
      </w:pPr>
    </w:p>
    <w:p w:rsidR="00E52A33" w:rsidRDefault="00E52A33">
      <w:pPr>
        <w:pStyle w:val="a9"/>
        <w:spacing w:before="0" w:beforeAutospacing="0" w:after="0" w:afterAutospacing="0" w:line="360" w:lineRule="auto"/>
        <w:rPr>
          <w:color w:val="FF0000"/>
        </w:rPr>
      </w:pPr>
    </w:p>
    <w:p w:rsidR="00E52A33" w:rsidRDefault="00B43DCF">
      <w:pPr>
        <w:pStyle w:val="a9"/>
        <w:spacing w:before="0" w:beforeAutospacing="0" w:after="0" w:afterAutospacing="0" w:line="360" w:lineRule="auto"/>
        <w:jc w:val="center"/>
      </w:pPr>
      <w:r>
        <w:rPr>
          <w:rFonts w:hint="eastAsia"/>
          <w:noProof/>
        </w:rPr>
        <w:drawing>
          <wp:inline distT="0" distB="0" distL="114300" distR="114300">
            <wp:extent cx="5256530" cy="3652520"/>
            <wp:effectExtent l="0" t="0" r="0" b="0"/>
            <wp:docPr id="20" name="图片 20" descr="07a6f3273e17bc0ab3fcf10e5d071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7a6f3273e17bc0ab3fcf10e5d0714a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7377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365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村委会、管护站照片（道路方向拍摄）</w:t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noProof/>
          <w:sz w:val="18"/>
          <w:szCs w:val="18"/>
        </w:rPr>
        <w:drawing>
          <wp:inline distT="0" distB="0" distL="114300" distR="114300">
            <wp:extent cx="5294630" cy="3971290"/>
            <wp:effectExtent l="0" t="0" r="8890" b="6350"/>
            <wp:docPr id="21" name="图片 21" descr="538db184758fb5c9e20904fe8d0ae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538db184758fb5c9e20904fe8d0ae4e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397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村委会、管护站南侧照片（展示接待中心方向拍摄）</w:t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290820" cy="3927475"/>
            <wp:effectExtent l="0" t="0" r="12700" b="444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15" b="632"/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392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村委会、管护站南侧照片（门前空地方向拍摄）</w:t>
      </w:r>
    </w:p>
    <w:p w:rsidR="00E52A33" w:rsidRDefault="00E52A33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color w:val="FF0000"/>
        </w:rPr>
      </w:pPr>
      <w:r>
        <w:rPr>
          <w:rFonts w:hint="eastAsia"/>
          <w:noProof/>
          <w:color w:val="FF0000"/>
        </w:rPr>
        <w:drawing>
          <wp:inline distT="0" distB="0" distL="114300" distR="114300">
            <wp:extent cx="5304155" cy="3686810"/>
            <wp:effectExtent l="0" t="0" r="14605" b="1270"/>
            <wp:docPr id="5" name="图片 5" descr="e9472e193e382aeab4c54d226b11c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9472e193e382aeab4c54d226b11c70"/>
                    <pic:cNvPicPr>
                      <a:picLocks noChangeAspect="1"/>
                    </pic:cNvPicPr>
                  </pic:nvPicPr>
                  <pic:blipFill>
                    <a:blip r:embed="rId27" cstate="email">
                      <a:lum bright="-6000" contrast="12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9067"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color w:val="FF0000"/>
        </w:rPr>
      </w:pPr>
      <w:r>
        <w:rPr>
          <w:rFonts w:hint="eastAsia"/>
          <w:b/>
          <w:sz w:val="18"/>
          <w:szCs w:val="18"/>
        </w:rPr>
        <w:t>村委会、管护站北侧照片（小溪方向拍摄）</w:t>
      </w:r>
    </w:p>
    <w:p w:rsidR="00E52A33" w:rsidRDefault="00B43DCF">
      <w:pPr>
        <w:pStyle w:val="a9"/>
        <w:spacing w:before="0" w:beforeAutospacing="0" w:after="0" w:afterAutospacing="0" w:line="360" w:lineRule="auto"/>
        <w:jc w:val="both"/>
        <w:rPr>
          <w:color w:val="FF0000"/>
        </w:rPr>
      </w:pPr>
      <w:r>
        <w:rPr>
          <w:rFonts w:hint="eastAsia"/>
          <w:noProof/>
          <w:color w:val="FF0000"/>
        </w:rPr>
        <w:lastRenderedPageBreak/>
        <w:drawing>
          <wp:inline distT="0" distB="0" distL="114300" distR="114300">
            <wp:extent cx="5296535" cy="3955415"/>
            <wp:effectExtent l="0" t="0" r="6985" b="6985"/>
            <wp:docPr id="10" name="图片 10" descr="033ace2492abb748677f16db37d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33ace2492abb748677f16db37d2827"/>
                    <pic:cNvPicPr>
                      <a:picLocks noChangeAspect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26027" b="1250"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ind w:left="360"/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展示接待中心西北侧照片（村委会方向拍摄）</w:t>
      </w:r>
    </w:p>
    <w:p w:rsidR="00E52A33" w:rsidRDefault="00E52A33">
      <w:pPr>
        <w:pStyle w:val="a9"/>
        <w:spacing w:before="0" w:beforeAutospacing="0" w:after="0" w:afterAutospacing="0" w:line="360" w:lineRule="auto"/>
        <w:ind w:left="360"/>
        <w:jc w:val="center"/>
        <w:rPr>
          <w:b/>
          <w:sz w:val="18"/>
          <w:szCs w:val="18"/>
        </w:rPr>
      </w:pP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color w:val="FF0000"/>
        </w:rPr>
      </w:pPr>
      <w:r>
        <w:rPr>
          <w:rFonts w:hint="eastAsia"/>
          <w:noProof/>
          <w:color w:val="FF0000"/>
        </w:rPr>
        <w:drawing>
          <wp:inline distT="0" distB="0" distL="114300" distR="114300">
            <wp:extent cx="4959350" cy="3501390"/>
            <wp:effectExtent l="0" t="0" r="0" b="3810"/>
            <wp:docPr id="12" name="图片 12" descr="ac13a07b96275598c83639d9e0c46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c13a07b96275598c83639d9e0c46c2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lum bright="-6000" contrast="6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6050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35013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ind w:left="360"/>
        <w:jc w:val="center"/>
        <w:rPr>
          <w:color w:val="FF0000"/>
        </w:rPr>
      </w:pPr>
      <w:r>
        <w:rPr>
          <w:rFonts w:hint="eastAsia"/>
          <w:b/>
          <w:sz w:val="18"/>
          <w:szCs w:val="18"/>
        </w:rPr>
        <w:t>展示接待中心东北侧照片（小溪方向拍摄）</w:t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noProof/>
          <w:color w:val="FF0000"/>
        </w:rPr>
        <w:lastRenderedPageBreak/>
        <w:drawing>
          <wp:inline distT="0" distB="0" distL="114300" distR="114300">
            <wp:extent cx="5260975" cy="3960495"/>
            <wp:effectExtent l="0" t="0" r="12065" b="1905"/>
            <wp:docPr id="18" name="图片 18" descr="9051e79b0a9645048007232a7f9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051e79b0a9645048007232a7f94157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112" b="130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18"/>
          <w:szCs w:val="18"/>
        </w:rPr>
        <w:t>展示接待中心西南侧照片（道路方向拍摄）</w:t>
      </w:r>
    </w:p>
    <w:p w:rsidR="00E52A33" w:rsidRDefault="00E52A33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noProof/>
          <w:sz w:val="18"/>
          <w:szCs w:val="18"/>
        </w:rPr>
        <w:drawing>
          <wp:inline distT="0" distB="0" distL="114300" distR="114300">
            <wp:extent cx="5254625" cy="3413125"/>
            <wp:effectExtent l="0" t="0" r="3175" b="635"/>
            <wp:docPr id="22" name="图片 22" descr="b77475eec27e4c849f38721d793a1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b77475eec27e4c849f38721d793a1cb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lum bright="-6000" contrast="12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33" w:rsidRDefault="00B43DCF">
      <w:pPr>
        <w:pStyle w:val="a9"/>
        <w:spacing w:before="0" w:beforeAutospacing="0" w:after="0" w:afterAutospacing="0" w:line="360" w:lineRule="auto"/>
        <w:jc w:val="center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用地鸟瞰图</w:t>
      </w:r>
    </w:p>
    <w:sectPr w:rsidR="00E52A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2ED5" w:rsidRDefault="00A12ED5" w:rsidP="00BD1AE0">
      <w:r>
        <w:separator/>
      </w:r>
    </w:p>
  </w:endnote>
  <w:endnote w:type="continuationSeparator" w:id="0">
    <w:p w:rsidR="00A12ED5" w:rsidRDefault="00A12ED5" w:rsidP="00BD1A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2ED5" w:rsidRDefault="00A12ED5" w:rsidP="00BD1AE0">
      <w:r>
        <w:separator/>
      </w:r>
    </w:p>
  </w:footnote>
  <w:footnote w:type="continuationSeparator" w:id="0">
    <w:p w:rsidR="00A12ED5" w:rsidRDefault="00A12ED5" w:rsidP="00BD1A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FCD0777"/>
    <w:multiLevelType w:val="multilevel"/>
    <w:tmpl w:val="5FCD0777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" w15:restartNumberingAfterBreak="0">
    <w:nsid w:val="73914CC8"/>
    <w:multiLevelType w:val="multilevel"/>
    <w:tmpl w:val="73914C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2" w15:restartNumberingAfterBreak="0">
    <w:nsid w:val="7C0E003E"/>
    <w:multiLevelType w:val="multilevel"/>
    <w:tmpl w:val="7C0E003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2E62"/>
    <w:rsid w:val="0004097B"/>
    <w:rsid w:val="00044784"/>
    <w:rsid w:val="000778DF"/>
    <w:rsid w:val="00084EF5"/>
    <w:rsid w:val="00113085"/>
    <w:rsid w:val="00117A97"/>
    <w:rsid w:val="00134F86"/>
    <w:rsid w:val="001434FD"/>
    <w:rsid w:val="00160D03"/>
    <w:rsid w:val="00175BDC"/>
    <w:rsid w:val="001A2E62"/>
    <w:rsid w:val="001B5DD8"/>
    <w:rsid w:val="001B602F"/>
    <w:rsid w:val="001F02B9"/>
    <w:rsid w:val="00207A71"/>
    <w:rsid w:val="00210DC6"/>
    <w:rsid w:val="002659EC"/>
    <w:rsid w:val="00280FE0"/>
    <w:rsid w:val="002D19D5"/>
    <w:rsid w:val="002D1FF9"/>
    <w:rsid w:val="00332306"/>
    <w:rsid w:val="00353C12"/>
    <w:rsid w:val="00363636"/>
    <w:rsid w:val="00365BFC"/>
    <w:rsid w:val="00377799"/>
    <w:rsid w:val="003A5DFF"/>
    <w:rsid w:val="003C70F6"/>
    <w:rsid w:val="003D0AB8"/>
    <w:rsid w:val="003E406A"/>
    <w:rsid w:val="00432897"/>
    <w:rsid w:val="004A3F68"/>
    <w:rsid w:val="004F7755"/>
    <w:rsid w:val="00541DC1"/>
    <w:rsid w:val="005537F3"/>
    <w:rsid w:val="005923E6"/>
    <w:rsid w:val="005F2D37"/>
    <w:rsid w:val="00693CE8"/>
    <w:rsid w:val="006F551C"/>
    <w:rsid w:val="007461CA"/>
    <w:rsid w:val="00792DEE"/>
    <w:rsid w:val="00865FE9"/>
    <w:rsid w:val="00917797"/>
    <w:rsid w:val="009D327E"/>
    <w:rsid w:val="00A12ED5"/>
    <w:rsid w:val="00AE33DC"/>
    <w:rsid w:val="00B0418F"/>
    <w:rsid w:val="00B43DCF"/>
    <w:rsid w:val="00B51503"/>
    <w:rsid w:val="00BB16B6"/>
    <w:rsid w:val="00BD1AE0"/>
    <w:rsid w:val="00BE7639"/>
    <w:rsid w:val="00C05E99"/>
    <w:rsid w:val="00C47214"/>
    <w:rsid w:val="00C850B4"/>
    <w:rsid w:val="00CA00F0"/>
    <w:rsid w:val="00CA0B08"/>
    <w:rsid w:val="00CC3867"/>
    <w:rsid w:val="00D0748F"/>
    <w:rsid w:val="00D850E8"/>
    <w:rsid w:val="00DA59F0"/>
    <w:rsid w:val="00DC328D"/>
    <w:rsid w:val="00DF4F6B"/>
    <w:rsid w:val="00E060D9"/>
    <w:rsid w:val="00E20F39"/>
    <w:rsid w:val="00E30D26"/>
    <w:rsid w:val="00E52A33"/>
    <w:rsid w:val="00E5415F"/>
    <w:rsid w:val="00E74013"/>
    <w:rsid w:val="00EB6083"/>
    <w:rsid w:val="00ED7786"/>
    <w:rsid w:val="00EF5D0D"/>
    <w:rsid w:val="00F47B38"/>
    <w:rsid w:val="00F55030"/>
    <w:rsid w:val="00F86EA2"/>
    <w:rsid w:val="00FA5681"/>
    <w:rsid w:val="00FB5A52"/>
    <w:rsid w:val="00FC617F"/>
    <w:rsid w:val="042C2BEF"/>
    <w:rsid w:val="08F474A8"/>
    <w:rsid w:val="0F667A50"/>
    <w:rsid w:val="150B0F7F"/>
    <w:rsid w:val="25D74B76"/>
    <w:rsid w:val="33BE2FDD"/>
    <w:rsid w:val="4A545678"/>
    <w:rsid w:val="56A568F1"/>
    <w:rsid w:val="580577D1"/>
    <w:rsid w:val="59140E48"/>
    <w:rsid w:val="5DD24607"/>
    <w:rsid w:val="6DFB1F86"/>
    <w:rsid w:val="6E5868FE"/>
    <w:rsid w:val="7E18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25D6CEA-E52D-4DF5-A76E-317EBAA19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/>
      <w:color w:val="000000"/>
      <w:kern w:val="0"/>
      <w:sz w:val="24"/>
      <w:szCs w:val="24"/>
    </w:rPr>
  </w:style>
  <w:style w:type="table" w:styleId="aa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qFormat/>
    <w:rPr>
      <w:rFonts w:ascii="Arial" w:eastAsia="黑体" w:hAnsi="Arial"/>
      <w:b/>
      <w:sz w:val="32"/>
    </w:rPr>
  </w:style>
  <w:style w:type="character" w:customStyle="1" w:styleId="font01">
    <w:name w:val="font01"/>
    <w:basedOn w:val="a0"/>
    <w:qFormat/>
    <w:rPr>
      <w:rFonts w:ascii="宋体" w:eastAsia="宋体" w:hAnsi="宋体" w:hint="eastAsia"/>
      <w:b/>
      <w:bCs/>
      <w:color w:val="000000"/>
      <w:sz w:val="21"/>
      <w:szCs w:val="21"/>
      <w:u w:val="none"/>
    </w:rPr>
  </w:style>
  <w:style w:type="character" w:customStyle="1" w:styleId="font21">
    <w:name w:val="font21"/>
    <w:basedOn w:val="a0"/>
    <w:rPr>
      <w:rFonts w:ascii="宋体" w:eastAsia="宋体" w:hAnsi="宋体" w:hint="eastAsia"/>
      <w:color w:val="000000"/>
      <w:sz w:val="21"/>
      <w:szCs w:val="21"/>
      <w:u w:val="none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paragraph" w:customStyle="1" w:styleId="msolistparagraph0">
    <w:name w:val="msolistparagraph"/>
    <w:basedOn w:val="a"/>
    <w:qFormat/>
    <w:pPr>
      <w:ind w:firstLineChars="200" w:firstLine="420"/>
    </w:pPr>
    <w:rPr>
      <w:rFonts w:ascii="等线" w:eastAsia="等线" w:hAnsi="等线" w:cs="Times New Roman" w:hint="eastAsia"/>
    </w:rPr>
  </w:style>
  <w:style w:type="character" w:customStyle="1" w:styleId="a8">
    <w:name w:val="页眉 字符"/>
    <w:basedOn w:val="a0"/>
    <w:link w:val="a7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300C081-40F9-4689-B4A8-8C2B0BC44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530</Words>
  <Characters>3021</Characters>
  <Application>Microsoft Office Word</Application>
  <DocSecurity>0</DocSecurity>
  <Lines>25</Lines>
  <Paragraphs>7</Paragraphs>
  <ScaleCrop>false</ScaleCrop>
  <Company/>
  <LinksUpToDate>false</LinksUpToDate>
  <CharactersWithSpaces>3544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曾雁</dc:creator>
  <cp:lastModifiedBy>鞠晓磊</cp:lastModifiedBy>
  <cp:revision>3</cp:revision>
  <dcterms:created xsi:type="dcterms:W3CDTF">2022-03-26T08:08:00Z</dcterms:created>
  <dcterms:modified xsi:type="dcterms:W3CDTF">2022-03-26T08:08:00Z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7FE4C629F48A4DFEB34F0CED8D374E40</vt:lpwstr>
  </property>
</Properties>
</file>